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1C01" w14:textId="77777777" w:rsidR="00D308C3" w:rsidRPr="00D308C3" w:rsidRDefault="00D308C3" w:rsidP="00D308C3">
      <w:pPr>
        <w:spacing w:after="240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Madame, monsieur, </w:t>
      </w:r>
    </w:p>
    <w:p w14:paraId="188E2F5A" w14:textId="77777777" w:rsidR="00D308C3" w:rsidRPr="00D308C3" w:rsidRDefault="00D308C3" w:rsidP="00D308C3">
      <w:pPr>
        <w:spacing w:after="240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En tant que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représentant·es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des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salarié·es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nous avons constaté une forte dégradation du contexte social initiée par les débats sur la loi immigration et exacerbée par les dernières élections et la montée des discours d’extrême-droite dans l’espace publique, qui s’est traduite par une </w:t>
      </w:r>
      <w:hyperlink r:id="rId5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hausse des agressions racistes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et </w:t>
      </w:r>
      <w:hyperlink r:id="rId6" w:history="1">
        <w:proofErr w:type="spellStart"/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LGBTQIA+phobes</w:t>
        </w:r>
        <w:proofErr w:type="spellEnd"/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. </w:t>
      </w:r>
    </w:p>
    <w:p w14:paraId="21BB5322" w14:textId="77777777" w:rsidR="00D308C3" w:rsidRPr="00D308C3" w:rsidRDefault="00D308C3" w:rsidP="00D308C3">
      <w:pPr>
        <w:spacing w:after="240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Au sein du collectif de travail cela a pu se traduire par : </w:t>
      </w:r>
    </w:p>
    <w:p w14:paraId="2A71051D" w14:textId="77777777" w:rsidR="00D308C3" w:rsidRPr="00D308C3" w:rsidRDefault="00D308C3" w:rsidP="00D308C3">
      <w:pPr>
        <w:numPr>
          <w:ilvl w:val="0"/>
          <w:numId w:val="7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des propos ou actes discriminatoires contre des collègues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étranger·es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ou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français·es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maghrébin·es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noir·es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, asiatiques,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musulman·es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,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juifs·ves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, et/ou des collègues LGBTQIA+, </w:t>
      </w:r>
    </w:p>
    <w:p w14:paraId="4CDDE122" w14:textId="77777777" w:rsidR="00D308C3" w:rsidRPr="00D308C3" w:rsidRDefault="00D308C3" w:rsidP="00D308C3">
      <w:pPr>
        <w:numPr>
          <w:ilvl w:val="0"/>
          <w:numId w:val="7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la crainte des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salarié·es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étranger·es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de notre entreprise/administration quant à la sécurisation de leur situation de travail,</w:t>
      </w:r>
    </w:p>
    <w:p w14:paraId="7712A6A5" w14:textId="77777777" w:rsidR="00D308C3" w:rsidRPr="00D308C3" w:rsidRDefault="00D308C3" w:rsidP="00D308C3">
      <w:pPr>
        <w:numPr>
          <w:ilvl w:val="0"/>
          <w:numId w:val="7"/>
        </w:numPr>
        <w:spacing w:after="24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le désarroi voire le choc psychologique des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encadrant·es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ayant à faire face à des situations de violences discriminatoires exprimées contre elles/eux et/ou au sein de leurs équipes.</w:t>
      </w:r>
    </w:p>
    <w:p w14:paraId="21900B38" w14:textId="77777777" w:rsidR="00D308C3" w:rsidRPr="00D308C3" w:rsidRDefault="00D308C3" w:rsidP="00D308C3">
      <w:pPr>
        <w:spacing w:after="240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Cette situation génère un risque pour la santé mentale et physique des </w:t>
      </w:r>
      <w:proofErr w:type="spellStart"/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salarié·es</w:t>
      </w:r>
      <w:proofErr w:type="spellEnd"/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de l’entreprise/administration. </w:t>
      </w: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Pour rappel, en plus des situations de </w:t>
      </w:r>
      <w:hyperlink r:id="rId7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violences internes ou externes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, la situation actuelle peut induire des risques socio-organisationnels (ou psychosociaux) induits par les </w:t>
      </w:r>
      <w:hyperlink r:id="rId8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facteurs de risque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suivants : </w:t>
      </w:r>
    </w:p>
    <w:p w14:paraId="2E0B1FD0" w14:textId="77777777" w:rsidR="00D308C3" w:rsidRPr="00D308C3" w:rsidRDefault="00D308C3" w:rsidP="00D308C3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des exigences émotionnelles, </w:t>
      </w:r>
    </w:p>
    <w:p w14:paraId="7BD03870" w14:textId="77777777" w:rsidR="00D308C3" w:rsidRPr="00D308C3" w:rsidRDefault="00D308C3" w:rsidP="00D308C3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des rapports sociaux au travail dégradés, </w:t>
      </w:r>
    </w:p>
    <w:p w14:paraId="7E1224A2" w14:textId="77777777" w:rsidR="00D308C3" w:rsidRPr="00D308C3" w:rsidRDefault="00D308C3" w:rsidP="00D308C3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des conflits de valeurs, notamment pour les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encadrant·es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,</w:t>
      </w:r>
    </w:p>
    <w:p w14:paraId="1914561C" w14:textId="77777777" w:rsidR="00D308C3" w:rsidRPr="00D308C3" w:rsidRDefault="00D308C3" w:rsidP="00D308C3">
      <w:pPr>
        <w:numPr>
          <w:ilvl w:val="0"/>
          <w:numId w:val="8"/>
        </w:numPr>
        <w:spacing w:after="24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de l’insécurité de la situation de travail, notamment pour les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salarié·es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étranger·es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. </w:t>
      </w:r>
    </w:p>
    <w:p w14:paraId="3C38425E" w14:textId="77777777" w:rsidR="00D308C3" w:rsidRPr="00D308C3" w:rsidRDefault="00D308C3" w:rsidP="00D308C3">
      <w:pPr>
        <w:spacing w:after="240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En tant qu’employeur vous avez la responsabilité de garantir la santé et la sécurité des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salarié·es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(</w:t>
      </w:r>
      <w:hyperlink r:id="rId9" w:anchor="LEGISCTA000006178066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article L. 4121-1 à 5 du code du travail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) et de lutter contre les discriminations au sein du collectif de travail (</w:t>
      </w:r>
      <w:hyperlink r:id="rId10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article L. 1132-1 du code du travail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). </w:t>
      </w:r>
    </w:p>
    <w:p w14:paraId="5556F3F4" w14:textId="77777777" w:rsidR="00D308C3" w:rsidRPr="00D308C3" w:rsidRDefault="00D308C3" w:rsidP="00D308C3">
      <w:pPr>
        <w:spacing w:after="240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Au vu du contexte nous vous demandons : </w:t>
      </w:r>
    </w:p>
    <w:p w14:paraId="03D9AF63" w14:textId="77777777" w:rsidR="00D308C3" w:rsidRPr="00D308C3" w:rsidRDefault="00D308C3" w:rsidP="00D308C3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d’évaluer les risques </w:t>
      </w: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en quantifiant les actes et propos discriminatoires commis contre des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salarié·es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de l’entreprises/administration et des entreprises sous-traitantes, y compris lorsqu’elles sont du fait des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client·es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/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usager·es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, et en mesurant leur impact sur la santé et la sécurité de nos collègues, y compris d’encadrement, </w:t>
      </w:r>
    </w:p>
    <w:p w14:paraId="512A10FA" w14:textId="77777777" w:rsidR="00D308C3" w:rsidRPr="00D308C3" w:rsidRDefault="00D308C3" w:rsidP="00D308C3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de mettre à jour le document unique d’évaluation des risques (DUER) ainsi que le programme annuel de prévention des risques (PAPRIPACT) </w:t>
      </w: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conformément à l’</w:t>
      </w:r>
      <w:hyperlink r:id="rId11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article R. 4121-2 du code du travail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et intégrer cet enjeu dans les plans de prévention des entreprises sous-traitantes ou établis avec nos entreprises donneuses d’ordres (</w:t>
      </w:r>
      <w:hyperlink r:id="rId12" w:anchor="LEGISCTA000018529803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articles R. 4512-1 et suivants du code du travail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),</w:t>
      </w:r>
    </w:p>
    <w:p w14:paraId="55DA2082" w14:textId="77777777" w:rsidR="00D308C3" w:rsidRPr="00D308C3" w:rsidRDefault="00D308C3" w:rsidP="00D308C3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de mettre en œuvre les mesures de prévention des actes discriminatoires </w:t>
      </w: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parmi lesquels la sensibilisation de l’ensemble des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salarié·es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, la formation des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encadrant·es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(</w:t>
      </w:r>
      <w:hyperlink r:id="rId13" w:anchor="LEGISCTA000006178070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articles L. 4141-1 à 4 du code du travail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), et la communication sur les mesures de prévention et de prise en charge des actes et propos discriminatoires, </w:t>
      </w:r>
    </w:p>
    <w:p w14:paraId="2C1E0554" w14:textId="77777777" w:rsidR="00D308C3" w:rsidRPr="00D308C3" w:rsidRDefault="00D308C3" w:rsidP="00D308C3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d’assurer aux </w:t>
      </w:r>
      <w:proofErr w:type="spellStart"/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salarié·es</w:t>
      </w:r>
      <w:proofErr w:type="spellEnd"/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étranger·es</w:t>
      </w:r>
      <w:proofErr w:type="spellEnd"/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embauché·es</w:t>
      </w:r>
      <w:proofErr w:type="spellEnd"/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par l’entreprise que la direction prendra en charge les procédures administratives </w:t>
      </w: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sécurisant leur régularisation, en tenant compte des délais de traitement de la préfecture,</w:t>
      </w:r>
    </w:p>
    <w:p w14:paraId="16BF22C9" w14:textId="77777777" w:rsidR="00D308C3" w:rsidRPr="00D308C3" w:rsidRDefault="00D308C3" w:rsidP="00D308C3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de vous assurer que les procédures de recrutement, de rémunération, de sanction ne sont pas discriminatoires</w:t>
      </w: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, conformément à ce que prévoient les </w:t>
      </w:r>
      <w:hyperlink r:id="rId14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articles L. 1131-1 à L. 1132-2 du code du travail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.  </w:t>
      </w:r>
    </w:p>
    <w:p w14:paraId="3DA6467F" w14:textId="77777777" w:rsidR="00D308C3" w:rsidRPr="00D308C3" w:rsidRDefault="00D308C3" w:rsidP="00D308C3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de vous assurer de </w:t>
      </w:r>
      <w:hyperlink r:id="rId15" w:history="1">
        <w:r w:rsidRPr="00D308C3">
          <w:rPr>
            <w:rFonts w:ascii="Arial" w:eastAsia="Times New Roman" w:hAnsi="Arial" w:cs="Arial"/>
            <w:b/>
            <w:bCs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l’affichage obligatoire</w:t>
        </w:r>
      </w:hyperlink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: </w:t>
      </w:r>
    </w:p>
    <w:p w14:paraId="2EEB48EF" w14:textId="77777777" w:rsidR="00D308C3" w:rsidRPr="00D308C3" w:rsidRDefault="00D308C3" w:rsidP="00D308C3">
      <w:pPr>
        <w:numPr>
          <w:ilvl w:val="1"/>
          <w:numId w:val="10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lastRenderedPageBreak/>
        <w:t>de l’article du code du travail relatifs à la lutte contre les discriminations au travail (</w:t>
      </w:r>
      <w:hyperlink r:id="rId16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article L. 1132-1 du code du travail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), </w:t>
      </w:r>
    </w:p>
    <w:p w14:paraId="1359C7A7" w14:textId="77777777" w:rsidR="00D308C3" w:rsidRPr="00D308C3" w:rsidRDefault="00D308C3" w:rsidP="00D308C3">
      <w:pPr>
        <w:numPr>
          <w:ilvl w:val="1"/>
          <w:numId w:val="11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des coordonnées du Défenseur des droits (</w:t>
      </w:r>
      <w:hyperlink r:id="rId17" w:anchor="LEGIARTI000038025995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article D. 1151-1 du code du travail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) </w:t>
      </w:r>
    </w:p>
    <w:p w14:paraId="764D0870" w14:textId="77777777" w:rsidR="00D308C3" w:rsidRPr="00D308C3" w:rsidRDefault="00D308C3" w:rsidP="00D308C3">
      <w:pPr>
        <w:numPr>
          <w:ilvl w:val="1"/>
          <w:numId w:val="12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des coordonnées de l’inspection du travail (</w:t>
      </w:r>
      <w:hyperlink r:id="rId18" w:anchor="LEGIARTI000018527636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article D. 4711-1 du code du travail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)</w:t>
      </w:r>
    </w:p>
    <w:p w14:paraId="0449A86D" w14:textId="77777777" w:rsidR="00D308C3" w:rsidRPr="00D308C3" w:rsidRDefault="00D308C3" w:rsidP="00D308C3">
      <w:pPr>
        <w:numPr>
          <w:ilvl w:val="0"/>
          <w:numId w:val="9"/>
        </w:numPr>
        <w:spacing w:after="24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</w:pPr>
      <w:r w:rsidRPr="00D308C3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fr-FR"/>
          <w14:ligatures w14:val="none"/>
        </w:rPr>
        <w:t xml:space="preserve">Entreprise de +300 </w:t>
      </w:r>
      <w:proofErr w:type="spellStart"/>
      <w:r w:rsidRPr="00D308C3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fr-FR"/>
          <w14:ligatures w14:val="none"/>
        </w:rPr>
        <w:t>salarié·es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: </w:t>
      </w:r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de bien vouloir nous transmettre la preuve de la formation régulière à la non-discrimination</w:t>
      </w: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de l’ensemble des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salarié·es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chargé·es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de missions de recrutement conformément à ce que prévoit l’</w:t>
      </w:r>
      <w:hyperlink r:id="rId19" w:history="1">
        <w:r w:rsidRPr="00D308C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fr-FR"/>
            <w14:ligatures w14:val="none"/>
          </w:rPr>
          <w:t>article L. 1131-2 du code du travail</w:t>
        </w:r>
      </w:hyperlink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. </w:t>
      </w:r>
    </w:p>
    <w:p w14:paraId="18CF1B1E" w14:textId="77777777" w:rsidR="00D308C3" w:rsidRPr="00D308C3" w:rsidRDefault="00D308C3" w:rsidP="00D308C3">
      <w:pPr>
        <w:spacing w:after="240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Nous vous rappelons que cette alerte écrite vaut information sur l’existence d’un risque pour les </w:t>
      </w:r>
      <w:proofErr w:type="spellStart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>salarié·es</w:t>
      </w:r>
      <w:proofErr w:type="spellEnd"/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et le collectif de travail. A ce titre nous vous informons qu’en l’absence d’action de prévention de votre part </w:t>
      </w:r>
      <w:r w:rsidRPr="00D308C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FR"/>
          <w14:ligatures w14:val="none"/>
        </w:rPr>
        <w:t>nous prendrons nos responsabilités</w:t>
      </w: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 en mettant en œuvre les moyens dont nous disposons pour garantir la sécurité de nos collègues, y compris l’inspection des services et la mise en œuvre d’enquêtes du CSE. </w:t>
      </w:r>
    </w:p>
    <w:p w14:paraId="5C50063E" w14:textId="77777777" w:rsidR="00D308C3" w:rsidRPr="00D308C3" w:rsidRDefault="00D308C3" w:rsidP="00D308C3">
      <w:pPr>
        <w:spacing w:after="240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308C3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  <w14:ligatures w14:val="none"/>
        </w:rPr>
        <w:t xml:space="preserve">Cordialement, </w:t>
      </w:r>
    </w:p>
    <w:p w14:paraId="050C6925" w14:textId="77777777" w:rsidR="00D308C3" w:rsidRPr="00D308C3" w:rsidRDefault="00D308C3" w:rsidP="00D308C3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61485F2F" w14:textId="77777777" w:rsidR="0019110E" w:rsidRPr="0019110E" w:rsidRDefault="0019110E" w:rsidP="0019110E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5E361E40" w14:textId="77777777" w:rsidR="00CB62B2" w:rsidRDefault="00CB62B2"/>
    <w:sectPr w:rsidR="00CB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748B1"/>
    <w:multiLevelType w:val="multilevel"/>
    <w:tmpl w:val="DD38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F0677"/>
    <w:multiLevelType w:val="multilevel"/>
    <w:tmpl w:val="6040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06F86"/>
    <w:multiLevelType w:val="multilevel"/>
    <w:tmpl w:val="8A2A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C5761"/>
    <w:multiLevelType w:val="multilevel"/>
    <w:tmpl w:val="F6CC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C77B6"/>
    <w:multiLevelType w:val="multilevel"/>
    <w:tmpl w:val="A82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21CB5"/>
    <w:multiLevelType w:val="multilevel"/>
    <w:tmpl w:val="E74E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056447">
    <w:abstractNumId w:val="5"/>
  </w:num>
  <w:num w:numId="2" w16cid:durableId="1361468400">
    <w:abstractNumId w:val="1"/>
  </w:num>
  <w:num w:numId="3" w16cid:durableId="363945181">
    <w:abstractNumId w:val="4"/>
  </w:num>
  <w:num w:numId="4" w16cid:durableId="200416114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22213929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667128960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155336079">
    <w:abstractNumId w:val="0"/>
  </w:num>
  <w:num w:numId="8" w16cid:durableId="374819395">
    <w:abstractNumId w:val="3"/>
  </w:num>
  <w:num w:numId="9" w16cid:durableId="323897331">
    <w:abstractNumId w:val="2"/>
  </w:num>
  <w:num w:numId="10" w16cid:durableId="212153214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348361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69449744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0E"/>
    <w:rsid w:val="0019110E"/>
    <w:rsid w:val="003D6A17"/>
    <w:rsid w:val="0061537A"/>
    <w:rsid w:val="006C781A"/>
    <w:rsid w:val="008A0101"/>
    <w:rsid w:val="00CB62B2"/>
    <w:rsid w:val="00D308C3"/>
    <w:rsid w:val="00D34190"/>
    <w:rsid w:val="00D46E86"/>
    <w:rsid w:val="00E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EFB90"/>
  <w15:chartTrackingRefBased/>
  <w15:docId w15:val="{E177185B-F176-F641-B886-16618A7C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1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1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1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1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11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11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11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11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1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1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1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11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11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11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11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11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11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11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11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1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11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11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11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11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1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11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11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11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191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rs.fr/risques/psychosociaux/facteurs-risques.html" TargetMode="External"/><Relationship Id="rId13" Type="http://schemas.openxmlformats.org/officeDocument/2006/relationships/hyperlink" Target="https://www.legifrance.gouv.fr/codes/section_lc/LEGITEXT000006072050/LEGISCTA000006178070/" TargetMode="External"/><Relationship Id="rId18" Type="http://schemas.openxmlformats.org/officeDocument/2006/relationships/hyperlink" Target="https://www.legifrance.gouv.fr/codes/section_lc/LEGITEXT000006072050/LEGISCTA000018493740?init=true&amp;page=1&amp;query=D4711-1&amp;searchField=ALL&amp;tab_selection=all&amp;anchor=LEGIARTI00001852763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rs.fr/risques/agressions-violences-externes/ce-qu-il-faut-retenir.html" TargetMode="External"/><Relationship Id="rId12" Type="http://schemas.openxmlformats.org/officeDocument/2006/relationships/hyperlink" Target="https://www.legifrance.gouv.fr/codes/section_lc/LEGITEXT000006072050/LEGISCTA000018491552/" TargetMode="External"/><Relationship Id="rId17" Type="http://schemas.openxmlformats.org/officeDocument/2006/relationships/hyperlink" Target="https://www.legifrance.gouv.fr/codes/section_lc/LEGITEXT000006072050/LEGISCTA000038025978?dateVersion=10%2F07%2F2024&amp;nomCode=mjXqUg%3D%3D&amp;page=1&amp;query=d%C3%A9fenseur+des+droits&amp;searchField=ALL&amp;tab_selection=code&amp;typeRecherche=date&amp;anchor=LEGIARTI0000380259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france.gouv.fr/codes/article_lc/LEGIARTI00004202671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tu.com/2024/06/12/justice-condamnation-quatre-jeunes-extreme-droite-fans-bardella-agression-homophobe/" TargetMode="External"/><Relationship Id="rId11" Type="http://schemas.openxmlformats.org/officeDocument/2006/relationships/hyperlink" Target="https://www.legifrance.gouv.fr/codes/article_lc/LEGIARTI000045386446" TargetMode="External"/><Relationship Id="rId5" Type="http://schemas.openxmlformats.org/officeDocument/2006/relationships/hyperlink" Target="https://www.lemonde.fr/emploi/article/2024/07/10/le-racisme-au-travail-de-plus-en-plus-desinhibe_6248283_1698637.html" TargetMode="External"/><Relationship Id="rId15" Type="http://schemas.openxmlformats.org/officeDocument/2006/relationships/hyperlink" Target="https://www.economie.gouv.fr/entreprises/obligations-affichage-informations-salaries" TargetMode="External"/><Relationship Id="rId10" Type="http://schemas.openxmlformats.org/officeDocument/2006/relationships/hyperlink" Target="https://www.legifrance.gouv.fr/codes/article_lc/LEGIARTI000045391841" TargetMode="External"/><Relationship Id="rId19" Type="http://schemas.openxmlformats.org/officeDocument/2006/relationships/hyperlink" Target="https://www.legifrance.gouv.fr/codes/article_lc/LEGIARTI000033957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codes/section_lc/LEGITEXT000006072050/LEGISCTA000006178066/" TargetMode="External"/><Relationship Id="rId14" Type="http://schemas.openxmlformats.org/officeDocument/2006/relationships/hyperlink" Target="https://www.legifrance.gouv.fr/codes/section_lc/LEGITEXT000006072050/LEGISCTA00000616070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Airvault - UGICT CGT</dc:creator>
  <cp:keywords/>
  <dc:description/>
  <cp:lastModifiedBy>Marie-Hélène Fléchard - UGICT CGT</cp:lastModifiedBy>
  <cp:revision>2</cp:revision>
  <dcterms:created xsi:type="dcterms:W3CDTF">2024-07-11T13:22:00Z</dcterms:created>
  <dcterms:modified xsi:type="dcterms:W3CDTF">2024-07-11T13:22:00Z</dcterms:modified>
</cp:coreProperties>
</file>