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AE" w:rsidRDefault="00863D4F" w:rsidP="00765A7E">
      <w:pPr>
        <w:jc w:val="center"/>
        <w:rPr>
          <w:rFonts w:ascii="Helvetica" w:eastAsia="Times New Roman" w:hAnsi="Helvetica"/>
          <w:b/>
          <w:sz w:val="22"/>
          <w:szCs w:val="22"/>
        </w:rPr>
      </w:pPr>
      <w:r w:rsidRPr="00AE63CF">
        <w:rPr>
          <w:rFonts w:eastAsia="Times New Roman" w:cs="Calibri"/>
          <w:noProof/>
          <w:lang w:eastAsia="fr-FR" w:bidi="ar-SA"/>
        </w:rPr>
        <w:drawing>
          <wp:inline distT="0" distB="0" distL="0" distR="0">
            <wp:extent cx="914400" cy="1019810"/>
            <wp:effectExtent l="0" t="0" r="0" b="8890"/>
            <wp:docPr id="1" name="Image 1" descr="logo CGT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GT coule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19810"/>
                    </a:xfrm>
                    <a:prstGeom prst="rect">
                      <a:avLst/>
                    </a:prstGeom>
                    <a:noFill/>
                    <a:ln>
                      <a:noFill/>
                    </a:ln>
                  </pic:spPr>
                </pic:pic>
              </a:graphicData>
            </a:graphic>
          </wp:inline>
        </w:drawing>
      </w:r>
      <w:r w:rsidR="00765A7E">
        <w:rPr>
          <w:rFonts w:ascii="Helvetica" w:eastAsia="Times New Roman" w:hAnsi="Helvetica"/>
          <w:b/>
          <w:sz w:val="22"/>
          <w:szCs w:val="22"/>
        </w:rPr>
        <w:t xml:space="preserve">  </w:t>
      </w:r>
      <w:r w:rsidRPr="00F11281">
        <w:rPr>
          <w:rFonts w:ascii="Helvetica" w:eastAsia="Times New Roman" w:hAnsi="Helvetica"/>
          <w:b/>
          <w:noProof/>
          <w:sz w:val="22"/>
          <w:szCs w:val="22"/>
          <w:lang w:eastAsia="fr-FR" w:bidi="ar-SA"/>
        </w:rPr>
        <w:drawing>
          <wp:inline distT="0" distB="0" distL="0" distR="0">
            <wp:extent cx="861695" cy="861695"/>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695" cy="861695"/>
                    </a:xfrm>
                    <a:prstGeom prst="rect">
                      <a:avLst/>
                    </a:prstGeom>
                    <a:noFill/>
                    <a:ln>
                      <a:noFill/>
                    </a:ln>
                  </pic:spPr>
                </pic:pic>
              </a:graphicData>
            </a:graphic>
          </wp:inline>
        </w:drawing>
      </w:r>
      <w:r w:rsidR="00765A7E">
        <w:rPr>
          <w:rFonts w:ascii="Helvetica" w:eastAsia="Times New Roman" w:hAnsi="Helvetica"/>
          <w:b/>
          <w:sz w:val="22"/>
          <w:szCs w:val="22"/>
        </w:rPr>
        <w:t xml:space="preserve">  </w:t>
      </w:r>
      <w:r w:rsidRPr="00F11281">
        <w:rPr>
          <w:rFonts w:ascii="Helvetica" w:eastAsia="Times New Roman" w:hAnsi="Helvetica"/>
          <w:b/>
          <w:noProof/>
          <w:sz w:val="22"/>
          <w:szCs w:val="22"/>
          <w:lang w:eastAsia="fr-FR" w:bidi="ar-SA"/>
        </w:rPr>
        <w:drawing>
          <wp:inline distT="0" distB="0" distL="0" distR="0">
            <wp:extent cx="749935" cy="86169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935" cy="861695"/>
                    </a:xfrm>
                    <a:prstGeom prst="rect">
                      <a:avLst/>
                    </a:prstGeom>
                    <a:noFill/>
                    <a:ln>
                      <a:noFill/>
                    </a:ln>
                  </pic:spPr>
                </pic:pic>
              </a:graphicData>
            </a:graphic>
          </wp:inline>
        </w:drawing>
      </w:r>
      <w:r w:rsidRPr="00F11281">
        <w:rPr>
          <w:rFonts w:ascii="Helvetica" w:eastAsia="Times New Roman" w:hAnsi="Helvetica"/>
          <w:b/>
          <w:noProof/>
          <w:sz w:val="22"/>
          <w:szCs w:val="22"/>
          <w:lang w:eastAsia="fr-FR" w:bidi="ar-SA"/>
        </w:rPr>
        <w:drawing>
          <wp:inline distT="0" distB="0" distL="0" distR="0">
            <wp:extent cx="835660" cy="861695"/>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660" cy="861695"/>
                    </a:xfrm>
                    <a:prstGeom prst="rect">
                      <a:avLst/>
                    </a:prstGeom>
                    <a:noFill/>
                    <a:ln>
                      <a:noFill/>
                    </a:ln>
                  </pic:spPr>
                </pic:pic>
              </a:graphicData>
            </a:graphic>
          </wp:inline>
        </w:drawing>
      </w:r>
      <w:r w:rsidR="00765A7E">
        <w:rPr>
          <w:rFonts w:ascii="Helvetica" w:eastAsia="Times New Roman" w:hAnsi="Helvetica"/>
          <w:b/>
          <w:sz w:val="22"/>
          <w:szCs w:val="22"/>
        </w:rPr>
        <w:t xml:space="preserve">  </w:t>
      </w:r>
    </w:p>
    <w:p w:rsidR="004727AE" w:rsidRDefault="004727AE" w:rsidP="00765A7E">
      <w:pPr>
        <w:jc w:val="center"/>
        <w:rPr>
          <w:rFonts w:ascii="Helvetica" w:eastAsia="Times New Roman" w:hAnsi="Helvetica"/>
          <w:b/>
          <w:sz w:val="22"/>
          <w:szCs w:val="22"/>
        </w:rPr>
      </w:pPr>
    </w:p>
    <w:p w:rsidR="00765A7E" w:rsidRDefault="00863D4F" w:rsidP="00765A7E">
      <w:pPr>
        <w:jc w:val="center"/>
        <w:rPr>
          <w:rFonts w:ascii="Helvetica" w:eastAsia="Times New Roman" w:hAnsi="Helvetica"/>
          <w:b/>
          <w:sz w:val="22"/>
          <w:szCs w:val="22"/>
        </w:rPr>
      </w:pPr>
      <w:r w:rsidRPr="00F11281">
        <w:rPr>
          <w:rFonts w:ascii="Helvetica" w:eastAsia="Times New Roman" w:hAnsi="Helvetica"/>
          <w:b/>
          <w:noProof/>
          <w:sz w:val="22"/>
          <w:szCs w:val="22"/>
          <w:lang w:eastAsia="fr-FR" w:bidi="ar-SA"/>
        </w:rPr>
        <w:drawing>
          <wp:inline distT="0" distB="0" distL="0" distR="0">
            <wp:extent cx="1558925" cy="723900"/>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8925" cy="723900"/>
                    </a:xfrm>
                    <a:prstGeom prst="rect">
                      <a:avLst/>
                    </a:prstGeom>
                    <a:noFill/>
                    <a:ln>
                      <a:noFill/>
                    </a:ln>
                  </pic:spPr>
                </pic:pic>
              </a:graphicData>
            </a:graphic>
          </wp:inline>
        </w:drawing>
      </w:r>
      <w:r w:rsidRPr="00F11281">
        <w:rPr>
          <w:rFonts w:ascii="Helvetica" w:eastAsia="Times New Roman" w:hAnsi="Helvetica"/>
          <w:b/>
          <w:noProof/>
          <w:sz w:val="22"/>
          <w:szCs w:val="22"/>
          <w:lang w:eastAsia="fr-FR" w:bidi="ar-SA"/>
        </w:rPr>
        <w:drawing>
          <wp:inline distT="0" distB="0" distL="0" distR="0">
            <wp:extent cx="1111885" cy="723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885" cy="723900"/>
                    </a:xfrm>
                    <a:prstGeom prst="rect">
                      <a:avLst/>
                    </a:prstGeom>
                    <a:noFill/>
                    <a:ln>
                      <a:noFill/>
                    </a:ln>
                  </pic:spPr>
                </pic:pic>
              </a:graphicData>
            </a:graphic>
          </wp:inline>
        </w:drawing>
      </w:r>
      <w:r w:rsidRPr="000D1C87">
        <w:rPr>
          <w:rFonts w:ascii="Helvetica" w:eastAsia="Times New Roman" w:hAnsi="Helvetica"/>
          <w:b/>
          <w:noProof/>
          <w:sz w:val="22"/>
          <w:szCs w:val="22"/>
          <w:lang w:eastAsia="fr-FR" w:bidi="ar-SA"/>
        </w:rPr>
        <w:drawing>
          <wp:inline distT="0" distB="0" distL="0" distR="0">
            <wp:extent cx="1493520" cy="7239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3520" cy="723900"/>
                    </a:xfrm>
                    <a:prstGeom prst="rect">
                      <a:avLst/>
                    </a:prstGeom>
                    <a:noFill/>
                    <a:ln>
                      <a:noFill/>
                    </a:ln>
                  </pic:spPr>
                </pic:pic>
              </a:graphicData>
            </a:graphic>
          </wp:inline>
        </w:drawing>
      </w:r>
    </w:p>
    <w:p w:rsidR="00765A7E" w:rsidRPr="00765A7E" w:rsidRDefault="00765A7E" w:rsidP="00765A7E">
      <w:pPr>
        <w:rPr>
          <w:rFonts w:ascii="Helvetica" w:eastAsia="Times New Roman" w:hAnsi="Helvetica"/>
          <w:bCs/>
          <w:sz w:val="20"/>
          <w:szCs w:val="20"/>
        </w:rPr>
      </w:pPr>
    </w:p>
    <w:p w:rsidR="00765A7E" w:rsidRPr="00765A7E" w:rsidRDefault="00765A7E" w:rsidP="00765A7E">
      <w:pPr>
        <w:ind w:left="6521"/>
        <w:rPr>
          <w:rFonts w:ascii="Helvetica" w:eastAsia="Times New Roman" w:hAnsi="Helvetica"/>
          <w:bCs/>
          <w:sz w:val="20"/>
          <w:szCs w:val="20"/>
        </w:rPr>
      </w:pPr>
      <w:r w:rsidRPr="00765A7E">
        <w:rPr>
          <w:rFonts w:ascii="Helvetica" w:eastAsia="Times New Roman" w:hAnsi="Helvetica"/>
          <w:bCs/>
          <w:sz w:val="20"/>
          <w:szCs w:val="20"/>
        </w:rPr>
        <w:t>Paris, le 21 décembre 2020</w:t>
      </w:r>
    </w:p>
    <w:p w:rsidR="00765A7E" w:rsidRDefault="00765A7E">
      <w:pPr>
        <w:jc w:val="center"/>
        <w:rPr>
          <w:rFonts w:ascii="Helvetica" w:eastAsia="Times New Roman" w:hAnsi="Helvetica"/>
          <w:b/>
          <w:sz w:val="26"/>
          <w:szCs w:val="26"/>
        </w:rPr>
      </w:pPr>
    </w:p>
    <w:p w:rsidR="00765A7E" w:rsidRDefault="00765A7E">
      <w:pPr>
        <w:jc w:val="center"/>
        <w:rPr>
          <w:rFonts w:ascii="Helvetica" w:eastAsia="Times New Roman" w:hAnsi="Helvetica"/>
          <w:b/>
          <w:sz w:val="26"/>
          <w:szCs w:val="26"/>
        </w:rPr>
      </w:pPr>
    </w:p>
    <w:p w:rsidR="00863D4F" w:rsidRDefault="00F2169B">
      <w:pPr>
        <w:jc w:val="center"/>
        <w:rPr>
          <w:rFonts w:ascii="Helvetica" w:eastAsia="Times New Roman" w:hAnsi="Helvetica"/>
          <w:b/>
          <w:sz w:val="26"/>
          <w:szCs w:val="26"/>
        </w:rPr>
      </w:pPr>
      <w:r w:rsidRPr="00765A7E">
        <w:rPr>
          <w:rFonts w:ascii="Helvetica" w:eastAsia="Times New Roman" w:hAnsi="Helvetica"/>
          <w:b/>
          <w:sz w:val="26"/>
          <w:szCs w:val="26"/>
        </w:rPr>
        <w:t>Fichage sans limites a</w:t>
      </w:r>
      <w:r w:rsidR="00863D4F">
        <w:rPr>
          <w:rFonts w:ascii="Helvetica" w:eastAsia="Times New Roman" w:hAnsi="Helvetica"/>
          <w:b/>
          <w:sz w:val="26"/>
          <w:szCs w:val="26"/>
        </w:rPr>
        <w:t>u nom de la sécurité publique :</w:t>
      </w:r>
    </w:p>
    <w:p w:rsidR="00B3405D" w:rsidRPr="00765A7E" w:rsidRDefault="00F2169B">
      <w:pPr>
        <w:jc w:val="center"/>
        <w:rPr>
          <w:rFonts w:ascii="Helvetica" w:eastAsia="Times New Roman" w:hAnsi="Helvetica"/>
          <w:b/>
          <w:sz w:val="26"/>
          <w:szCs w:val="26"/>
        </w:rPr>
      </w:pPr>
      <w:bookmarkStart w:id="0" w:name="_GoBack"/>
      <w:bookmarkEnd w:id="0"/>
      <w:r w:rsidRPr="00765A7E">
        <w:rPr>
          <w:rFonts w:ascii="Helvetica" w:eastAsia="Times New Roman" w:hAnsi="Helvetica"/>
          <w:b/>
          <w:sz w:val="26"/>
          <w:szCs w:val="26"/>
        </w:rPr>
        <w:t>le spectre de Big Brother en 2021</w:t>
      </w:r>
    </w:p>
    <w:p w:rsidR="00B3405D" w:rsidRPr="00765A7E" w:rsidRDefault="00B340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4" w:lineRule="auto"/>
        <w:jc w:val="both"/>
        <w:rPr>
          <w:rFonts w:ascii="Helvetica" w:eastAsia="TrebuchetMS" w:hAnsi="Helvetica" w:cs="TrebuchetMS"/>
          <w:color w:val="000000"/>
          <w:kern w:val="0"/>
          <w:sz w:val="26"/>
          <w:szCs w:val="26"/>
        </w:rPr>
      </w:pPr>
    </w:p>
    <w:p w:rsidR="00B3405D" w:rsidRPr="00AE63CF" w:rsidRDefault="00F2169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4" w:lineRule="auto"/>
        <w:jc w:val="both"/>
        <w:rPr>
          <w:rFonts w:ascii="Helvetica" w:hAnsi="Helvetica"/>
          <w:sz w:val="22"/>
          <w:szCs w:val="22"/>
        </w:rPr>
      </w:pPr>
      <w:r w:rsidRPr="00765A7E">
        <w:rPr>
          <w:rFonts w:ascii="Helvetica" w:eastAsia="TrebuchetMS" w:hAnsi="Helvetica" w:cs="TrebuchetMS"/>
          <w:color w:val="000000"/>
          <w:kern w:val="0"/>
          <w:sz w:val="22"/>
          <w:szCs w:val="22"/>
        </w:rPr>
        <w:t>Trois décrets du 2 décembre 2020 (n</w:t>
      </w:r>
      <w:r w:rsidRPr="00765A7E">
        <w:rPr>
          <w:rFonts w:ascii="Helvetica" w:eastAsia="TrebuchetMS" w:hAnsi="Helvetica" w:cs="TrebuchetMS"/>
          <w:color w:val="000000"/>
          <w:kern w:val="0"/>
          <w:sz w:val="22"/>
          <w:szCs w:val="22"/>
          <w:vertAlign w:val="superscript"/>
        </w:rPr>
        <w:t>os</w:t>
      </w:r>
      <w:r w:rsidRPr="00765A7E">
        <w:rPr>
          <w:rFonts w:ascii="Helvetica" w:eastAsia="TrebuchetMS" w:hAnsi="Helvetica" w:cs="TrebuchetMS"/>
          <w:color w:val="000000"/>
          <w:kern w:val="0"/>
          <w:sz w:val="22"/>
          <w:szCs w:val="22"/>
        </w:rPr>
        <w:t xml:space="preserve"> 2020-1510, 2020-1512 et 2020-1521) élargissent considérablement l'ampleur des fichiers </w:t>
      </w:r>
      <w:r w:rsidRPr="00765A7E">
        <w:rPr>
          <w:rFonts w:ascii="Helvetica" w:eastAsia="TrebuchetMS-Italic" w:hAnsi="Helvetica" w:cs="TrebuchetMS-Italic"/>
          <w:iCs/>
          <w:color w:val="000000"/>
          <w:kern w:val="0"/>
          <w:sz w:val="22"/>
          <w:szCs w:val="22"/>
        </w:rPr>
        <w:t>Gestion de l'information et prévention des atteintes à la sécurité publique</w:t>
      </w:r>
      <w:r w:rsidRPr="00765A7E">
        <w:rPr>
          <w:rFonts w:ascii="Helvetica" w:eastAsia="TrebuchetMS" w:hAnsi="Helvetica" w:cs="TrebuchetMS"/>
          <w:color w:val="000000"/>
          <w:kern w:val="0"/>
          <w:sz w:val="22"/>
          <w:szCs w:val="22"/>
        </w:rPr>
        <w:t xml:space="preserve"> (GIPASP), </w:t>
      </w:r>
      <w:r w:rsidRPr="00765A7E">
        <w:rPr>
          <w:rFonts w:ascii="Helvetica" w:eastAsia="TrebuchetMS-Italic" w:hAnsi="Helvetica" w:cs="TrebuchetMS-Italic"/>
          <w:iCs/>
          <w:color w:val="000000"/>
          <w:kern w:val="0"/>
          <w:sz w:val="22"/>
          <w:szCs w:val="22"/>
        </w:rPr>
        <w:t>Enquêtes administratives liées à la sécurité publique</w:t>
      </w:r>
      <w:r w:rsidRPr="00765A7E">
        <w:rPr>
          <w:rFonts w:ascii="Helvetica" w:eastAsia="TrebuchetMS" w:hAnsi="Helvetica" w:cs="TrebuchetMS"/>
          <w:color w:val="000000"/>
          <w:kern w:val="0"/>
          <w:sz w:val="22"/>
          <w:szCs w:val="22"/>
        </w:rPr>
        <w:t xml:space="preserve"> (EASP) et </w:t>
      </w:r>
      <w:r w:rsidRPr="00765A7E">
        <w:rPr>
          <w:rFonts w:ascii="Helvetica" w:eastAsia="TrebuchetMS-Italic" w:hAnsi="Helvetica" w:cs="TrebuchetMS-Italic"/>
          <w:iCs/>
          <w:color w:val="000000"/>
          <w:kern w:val="0"/>
          <w:sz w:val="22"/>
          <w:szCs w:val="22"/>
        </w:rPr>
        <w:t>Prévention des atteintes à la sécurité publique</w:t>
      </w:r>
      <w:r w:rsidRPr="00765A7E">
        <w:rPr>
          <w:rFonts w:ascii="Helvetica" w:eastAsia="TrebuchetMS" w:hAnsi="Helvetica" w:cs="TrebuchetMS"/>
          <w:color w:val="000000"/>
          <w:kern w:val="0"/>
          <w:sz w:val="22"/>
          <w:szCs w:val="22"/>
        </w:rPr>
        <w:t xml:space="preserve">  (PASP), qui concernent les personnes  </w:t>
      </w:r>
      <w:r w:rsidR="00863D4F">
        <w:rPr>
          <w:rFonts w:ascii="Helvetica" w:eastAsia="TrebuchetMS" w:hAnsi="Helvetica" w:cs="TrebuchetMS"/>
          <w:color w:val="000000"/>
          <w:kern w:val="0"/>
          <w:sz w:val="22"/>
          <w:szCs w:val="22"/>
        </w:rPr>
        <w:t>« </w:t>
      </w:r>
      <w:r w:rsidRPr="00765A7E">
        <w:rPr>
          <w:rFonts w:ascii="Helvetica" w:eastAsia="TrebuchetMS" w:hAnsi="Helvetica" w:cs="TrebuchetMS"/>
          <w:color w:val="000000"/>
          <w:kern w:val="0"/>
          <w:sz w:val="22"/>
          <w:szCs w:val="22"/>
        </w:rPr>
        <w:t>dont l'activité individuelle ou collective indique qu'elles peuvent porter atteinte à la sécurité publi</w:t>
      </w:r>
      <w:r w:rsidR="00863D4F">
        <w:rPr>
          <w:rFonts w:ascii="Helvetica" w:eastAsia="TrebuchetMS" w:hAnsi="Helvetica" w:cs="TrebuchetMS"/>
          <w:color w:val="000000"/>
          <w:kern w:val="0"/>
          <w:sz w:val="22"/>
          <w:szCs w:val="22"/>
        </w:rPr>
        <w:t>que ou à la sûreté de l'Etat. »</w:t>
      </w:r>
    </w:p>
    <w:p w:rsidR="00B3405D" w:rsidRPr="00AE63CF" w:rsidRDefault="00F2169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4" w:lineRule="auto"/>
        <w:jc w:val="both"/>
        <w:rPr>
          <w:rFonts w:ascii="Helvetica" w:hAnsi="Helvetica"/>
          <w:sz w:val="22"/>
          <w:szCs w:val="22"/>
        </w:rPr>
      </w:pPr>
      <w:r w:rsidRPr="00765A7E">
        <w:rPr>
          <w:rFonts w:ascii="Helvetica" w:eastAsia="TrebuchetMS" w:hAnsi="Helvetica" w:cs="TrebuchetMS"/>
          <w:color w:val="000000"/>
          <w:kern w:val="0"/>
          <w:sz w:val="22"/>
          <w:szCs w:val="22"/>
        </w:rPr>
        <w:t xml:space="preserve">Les éléments contenus dans ces décrets ne sont pas sans rappeler le fichier EDVIGE qui, en 2008, avait suscité une vive réaction de la population jusqu'à son retrait par le gouvernement. </w:t>
      </w:r>
      <w:r w:rsidRPr="00765A7E">
        <w:rPr>
          <w:rFonts w:ascii="Helvetica" w:eastAsia="TrebuchetMS-Bold" w:hAnsi="Helvetica" w:cs="TrebuchetMS-Bold"/>
          <w:bCs/>
          <w:color w:val="000000"/>
          <w:kern w:val="0"/>
          <w:sz w:val="22"/>
          <w:szCs w:val="22"/>
        </w:rPr>
        <w:t>En 2020</w:t>
      </w:r>
      <w:r w:rsidRPr="00765A7E">
        <w:rPr>
          <w:rFonts w:ascii="Helvetica" w:eastAsia="TrebuchetMS-Bold" w:hAnsi="Helvetica" w:cs="TrebuchetMS-Bold"/>
          <w:b/>
          <w:bCs/>
          <w:color w:val="000000"/>
          <w:kern w:val="0"/>
          <w:sz w:val="22"/>
          <w:szCs w:val="22"/>
        </w:rPr>
        <w:t>,</w:t>
      </w:r>
      <w:r w:rsidRPr="00765A7E">
        <w:rPr>
          <w:rFonts w:ascii="Helvetica" w:eastAsia="TrebuchetMS" w:hAnsi="Helvetica" w:cs="TrebuchetMS"/>
          <w:color w:val="000000"/>
          <w:kern w:val="0"/>
          <w:sz w:val="22"/>
          <w:szCs w:val="22"/>
        </w:rPr>
        <w:t xml:space="preserve"> par un tour de passe-passe, le gouvernement </w:t>
      </w:r>
      <w:r w:rsidRPr="00765A7E">
        <w:rPr>
          <w:rFonts w:ascii="Helvetica" w:eastAsia="TrebuchetMS-Bold" w:hAnsi="Helvetica" w:cs="TrebuchetMS-Bold"/>
          <w:bCs/>
          <w:color w:val="000000"/>
          <w:kern w:val="0"/>
          <w:sz w:val="22"/>
          <w:szCs w:val="22"/>
        </w:rPr>
        <w:t>s'épargne</w:t>
      </w:r>
      <w:r w:rsidRPr="00765A7E">
        <w:rPr>
          <w:rFonts w:ascii="Helvetica" w:eastAsia="TrebuchetMS-Bold" w:hAnsi="Helvetica" w:cs="TrebuchetMS-Bold"/>
          <w:b/>
          <w:bCs/>
          <w:color w:val="000000"/>
          <w:kern w:val="0"/>
          <w:sz w:val="22"/>
          <w:szCs w:val="22"/>
        </w:rPr>
        <w:t xml:space="preserve"> </w:t>
      </w:r>
      <w:r w:rsidRPr="00765A7E">
        <w:rPr>
          <w:rFonts w:ascii="Helvetica" w:eastAsia="TrebuchetMS" w:hAnsi="Helvetica" w:cs="TrebuchetMS"/>
          <w:color w:val="000000"/>
          <w:kern w:val="0"/>
          <w:sz w:val="22"/>
          <w:szCs w:val="22"/>
        </w:rPr>
        <w:t xml:space="preserve">la consultation de la CNIL sur une des parties les plus sensibles du texte, en ajoutant </w:t>
      </w:r>
      <w:r w:rsidRPr="00765A7E">
        <w:rPr>
          <w:rFonts w:ascii="Helvetica" w:eastAsia="TrebuchetMS-Bold" w:hAnsi="Helvetica" w:cs="TrebuchetMS-Bold"/>
          <w:bCs/>
          <w:color w:val="000000"/>
          <w:kern w:val="0"/>
          <w:sz w:val="22"/>
          <w:szCs w:val="22"/>
        </w:rPr>
        <w:t>au dernier moment</w:t>
      </w:r>
      <w:r w:rsidRPr="00765A7E">
        <w:rPr>
          <w:rFonts w:ascii="Helvetica" w:eastAsia="TrebuchetMS" w:hAnsi="Helvetica" w:cs="TrebuchetMS"/>
          <w:color w:val="000000"/>
          <w:kern w:val="0"/>
          <w:sz w:val="22"/>
          <w:szCs w:val="22"/>
        </w:rPr>
        <w:t xml:space="preserve"> la mention «des opinions politiques, des convictions philosophiques, religieuses ou une appartenance syndicale ». Outre cet aspect des textes déjà hautement contestable, ces décrets autorisent également le fichage de l'activité d'une personne sur les réseaux sociaux ou encore «des données de santé révélant une dangerosité particulière».</w:t>
      </w:r>
    </w:p>
    <w:p w:rsidR="00B3405D" w:rsidRPr="00765A7E" w:rsidRDefault="00F2169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4" w:lineRule="auto"/>
        <w:jc w:val="both"/>
        <w:rPr>
          <w:rFonts w:ascii="Helvetica" w:eastAsia="TrebuchetMS" w:hAnsi="Helvetica" w:cs="TrebuchetMS"/>
          <w:kern w:val="0"/>
          <w:sz w:val="22"/>
          <w:szCs w:val="22"/>
        </w:rPr>
      </w:pPr>
      <w:r w:rsidRPr="00765A7E">
        <w:rPr>
          <w:rFonts w:ascii="Helvetica" w:eastAsia="TrebuchetMS" w:hAnsi="Helvetica" w:cs="TrebuchetMS"/>
          <w:kern w:val="0"/>
          <w:sz w:val="22"/>
          <w:szCs w:val="22"/>
        </w:rPr>
        <w:t>Le champ des personnes susceptibles d’être concernées est ainsi très large.</w:t>
      </w:r>
    </w:p>
    <w:p w:rsidR="00B3405D" w:rsidRPr="00765A7E" w:rsidRDefault="00F2169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4" w:lineRule="auto"/>
        <w:jc w:val="both"/>
        <w:rPr>
          <w:rFonts w:ascii="Helvetica" w:eastAsia="TrebuchetMS" w:hAnsi="Helvetica" w:cs="TrebuchetMS"/>
          <w:kern w:val="0"/>
          <w:sz w:val="22"/>
          <w:szCs w:val="22"/>
        </w:rPr>
      </w:pPr>
      <w:r w:rsidRPr="00765A7E">
        <w:rPr>
          <w:rFonts w:ascii="Helvetica" w:eastAsia="TrebuchetMS" w:hAnsi="Helvetica" w:cs="TrebuchetMS"/>
          <w:kern w:val="0"/>
          <w:sz w:val="22"/>
          <w:szCs w:val="22"/>
        </w:rPr>
        <w:t>Ce faisant, et après des dispositions conduisant à porter atteinte au droit de manifester, il conduit à stigmatiser la liberté d’opinion, l’action syndicale, le fait d’être adhérent à un syndicat, qui laisserait à penser qu’être adhérent d’un syndicat pourrait être associé d’une manière ou d’une autre à des impératifs de sécurité intérieure, de sûreté de l’État, de lutte contre le terrorisme</w:t>
      </w:r>
      <w:r w:rsidR="001B6A37">
        <w:rPr>
          <w:rFonts w:ascii="Helvetica" w:eastAsia="TrebuchetMS" w:hAnsi="Helvetica" w:cs="TrebuchetMS"/>
          <w:kern w:val="0"/>
          <w:sz w:val="22"/>
          <w:szCs w:val="22"/>
        </w:rPr>
        <w:t>.</w:t>
      </w:r>
    </w:p>
    <w:p w:rsidR="00B3405D" w:rsidRPr="00765A7E" w:rsidRDefault="00F2169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4" w:lineRule="auto"/>
        <w:jc w:val="both"/>
        <w:rPr>
          <w:rFonts w:ascii="Helvetica" w:hAnsi="Helvetica"/>
          <w:sz w:val="22"/>
          <w:szCs w:val="22"/>
        </w:rPr>
      </w:pPr>
      <w:r w:rsidRPr="00765A7E">
        <w:rPr>
          <w:rFonts w:ascii="Helvetica" w:eastAsia="TrebuchetMS-Bold" w:hAnsi="Helvetica" w:cs="TrebuchetMS-Bold"/>
          <w:bCs/>
          <w:kern w:val="0"/>
          <w:sz w:val="22"/>
          <w:szCs w:val="22"/>
        </w:rPr>
        <w:t>Ces décrets pourraient permettre</w:t>
      </w:r>
      <w:r w:rsidRPr="00765A7E">
        <w:rPr>
          <w:rFonts w:ascii="Helvetica" w:eastAsia="TrebuchetMS" w:hAnsi="Helvetica" w:cs="TrebuchetMS"/>
          <w:kern w:val="0"/>
          <w:sz w:val="22"/>
          <w:szCs w:val="22"/>
        </w:rPr>
        <w:t xml:space="preserve"> à l’administration de ficher des personnes en raison de leurs opinions et convictions et de leurs problèm</w:t>
      </w:r>
      <w:r w:rsidR="00863D4F">
        <w:rPr>
          <w:rFonts w:ascii="Helvetica" w:eastAsia="TrebuchetMS" w:hAnsi="Helvetica" w:cs="TrebuchetMS"/>
          <w:kern w:val="0"/>
          <w:sz w:val="22"/>
          <w:szCs w:val="22"/>
        </w:rPr>
        <w:t>es de santé au prétexte qu’ils « </w:t>
      </w:r>
      <w:r w:rsidRPr="00765A7E">
        <w:rPr>
          <w:rFonts w:ascii="Helvetica" w:eastAsia="TrebuchetMS" w:hAnsi="Helvetica" w:cs="TrebuchetMS"/>
          <w:kern w:val="0"/>
          <w:sz w:val="22"/>
          <w:szCs w:val="22"/>
        </w:rPr>
        <w:t xml:space="preserve">révéleraient </w:t>
      </w:r>
      <w:r w:rsidR="00863D4F">
        <w:rPr>
          <w:rFonts w:ascii="Helvetica" w:eastAsia="TrebuchetMS" w:hAnsi="Helvetica" w:cs="TrebuchetMS"/>
          <w:color w:val="000000"/>
          <w:kern w:val="0"/>
          <w:sz w:val="22"/>
          <w:szCs w:val="22"/>
        </w:rPr>
        <w:t>une dangerosité particulière »</w:t>
      </w:r>
      <w:r w:rsidRPr="00765A7E">
        <w:rPr>
          <w:rFonts w:ascii="Helvetica" w:eastAsia="TrebuchetMS" w:hAnsi="Helvetica" w:cs="TrebuchetMS"/>
          <w:color w:val="000000"/>
          <w:kern w:val="0"/>
          <w:sz w:val="22"/>
          <w:szCs w:val="22"/>
        </w:rPr>
        <w:t>.</w:t>
      </w:r>
    </w:p>
    <w:p w:rsidR="00765A7E" w:rsidRDefault="00765A7E">
      <w:pPr>
        <w:pStyle w:val="Standard"/>
        <w:autoSpaceDE w:val="0"/>
        <w:jc w:val="both"/>
        <w:rPr>
          <w:rFonts w:ascii="Helvetica" w:eastAsia="TrebuchetMS" w:hAnsi="Helvetica" w:cs="TrebuchetMS"/>
          <w:color w:val="000000"/>
          <w:kern w:val="0"/>
          <w:sz w:val="22"/>
          <w:szCs w:val="22"/>
        </w:rPr>
      </w:pPr>
    </w:p>
    <w:p w:rsidR="00B3405D" w:rsidRPr="00765A7E" w:rsidRDefault="00F2169B">
      <w:pPr>
        <w:pStyle w:val="Standard"/>
        <w:autoSpaceDE w:val="0"/>
        <w:jc w:val="both"/>
        <w:rPr>
          <w:rFonts w:ascii="Helvetica" w:eastAsia="TrebuchetMS" w:hAnsi="Helvetica" w:cs="TrebuchetMS"/>
          <w:color w:val="000000"/>
          <w:kern w:val="0"/>
          <w:sz w:val="22"/>
          <w:szCs w:val="22"/>
        </w:rPr>
      </w:pPr>
      <w:r w:rsidRPr="00765A7E">
        <w:rPr>
          <w:rFonts w:ascii="Helvetica" w:eastAsia="TrebuchetMS" w:hAnsi="Helvetica" w:cs="TrebuchetMS"/>
          <w:color w:val="000000"/>
          <w:kern w:val="0"/>
          <w:sz w:val="22"/>
          <w:szCs w:val="22"/>
        </w:rPr>
        <w:t>C’est pourquoi les organisations syndicales CGT, FO, FSU, SAF, SM, Solidaires ainsi que l’association GISTI o</w:t>
      </w:r>
      <w:r w:rsidR="00863D4F">
        <w:rPr>
          <w:rFonts w:ascii="Helvetica" w:eastAsia="TrebuchetMS" w:hAnsi="Helvetica" w:cs="TrebuchetMS"/>
          <w:color w:val="000000"/>
          <w:kern w:val="0"/>
          <w:sz w:val="22"/>
          <w:szCs w:val="22"/>
        </w:rPr>
        <w:t>nt attaqué devant le Conseil d'État ces décrets indignes d'un É</w:t>
      </w:r>
      <w:r w:rsidRPr="00765A7E">
        <w:rPr>
          <w:rFonts w:ascii="Helvetica" w:eastAsia="TrebuchetMS" w:hAnsi="Helvetica" w:cs="TrebuchetMS"/>
          <w:color w:val="000000"/>
          <w:kern w:val="0"/>
          <w:sz w:val="22"/>
          <w:szCs w:val="22"/>
        </w:rPr>
        <w:t>tat de droit censé protéger, entre autres, la liberté d'opinion, d'association et les droits syndicaux.</w:t>
      </w:r>
    </w:p>
    <w:p w:rsidR="00B3405D" w:rsidRPr="00765A7E" w:rsidRDefault="00B3405D">
      <w:pPr>
        <w:pStyle w:val="Standard"/>
        <w:autoSpaceDE w:val="0"/>
        <w:jc w:val="both"/>
        <w:rPr>
          <w:rFonts w:ascii="Helvetica" w:eastAsia="TrebuchetMS" w:hAnsi="Helvetica" w:cs="TrebuchetMS"/>
          <w:color w:val="000000"/>
          <w:kern w:val="0"/>
          <w:sz w:val="22"/>
          <w:szCs w:val="22"/>
        </w:rPr>
      </w:pPr>
    </w:p>
    <w:p w:rsidR="00B3405D" w:rsidRPr="00AE63CF" w:rsidRDefault="00F2169B">
      <w:pPr>
        <w:pStyle w:val="Standard"/>
        <w:autoSpaceDE w:val="0"/>
        <w:jc w:val="both"/>
        <w:rPr>
          <w:rFonts w:ascii="Helvetica" w:hAnsi="Helvetica"/>
          <w:b/>
          <w:bCs/>
          <w:sz w:val="22"/>
          <w:szCs w:val="22"/>
        </w:rPr>
      </w:pPr>
      <w:r w:rsidRPr="00AE63CF">
        <w:rPr>
          <w:rFonts w:ascii="Helvetica" w:eastAsia="TrebuchetMS" w:hAnsi="Helvetica" w:cs="TrebuchetMS"/>
          <w:b/>
          <w:bCs/>
          <w:color w:val="000000"/>
          <w:kern w:val="0"/>
          <w:sz w:val="22"/>
          <w:szCs w:val="22"/>
        </w:rPr>
        <w:t>L’audience est fixée mercredi 23 décembre à 15H00.</w:t>
      </w:r>
    </w:p>
    <w:sectPr w:rsidR="00B3405D" w:rsidRPr="00AE63CF" w:rsidSect="00765A7E">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DD" w:rsidRDefault="00EC0FDD">
      <w:r>
        <w:separator/>
      </w:r>
    </w:p>
  </w:endnote>
  <w:endnote w:type="continuationSeparator" w:id="0">
    <w:p w:rsidR="00EC0FDD" w:rsidRDefault="00EC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MS">
    <w:altName w:val="Calibri"/>
    <w:charset w:val="00"/>
    <w:family w:val="swiss"/>
    <w:pitch w:val="default"/>
  </w:font>
  <w:font w:name="TrebuchetMS-Italic">
    <w:charset w:val="00"/>
    <w:family w:val="script"/>
    <w:pitch w:val="default"/>
  </w:font>
  <w:font w:name="TrebuchetMS-Bol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DD" w:rsidRDefault="00EC0FDD">
      <w:r>
        <w:rPr>
          <w:color w:val="000000"/>
        </w:rPr>
        <w:separator/>
      </w:r>
    </w:p>
  </w:footnote>
  <w:footnote w:type="continuationSeparator" w:id="0">
    <w:p w:rsidR="00EC0FDD" w:rsidRDefault="00EC0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5D"/>
    <w:rsid w:val="000D1C87"/>
    <w:rsid w:val="001B6A37"/>
    <w:rsid w:val="004727AE"/>
    <w:rsid w:val="006F4789"/>
    <w:rsid w:val="007361E9"/>
    <w:rsid w:val="00765A7E"/>
    <w:rsid w:val="00863D4F"/>
    <w:rsid w:val="00AE63CF"/>
    <w:rsid w:val="00B3405D"/>
    <w:rsid w:val="00EC0FDD"/>
    <w:rsid w:val="00F11281"/>
    <w:rsid w:val="00F21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9B635-D0E0-44EC-9283-3599D0F9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gressier</dc:creator>
  <cp:keywords/>
  <cp:lastModifiedBy>Elisabeth ROYER</cp:lastModifiedBy>
  <cp:revision>2</cp:revision>
  <dcterms:created xsi:type="dcterms:W3CDTF">2020-12-21T16:47:00Z</dcterms:created>
  <dcterms:modified xsi:type="dcterms:W3CDTF">2020-12-21T16:47:00Z</dcterms:modified>
</cp:coreProperties>
</file>